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32" w:firstLineChars="200"/>
        <w:rPr>
          <w:color w:val="auto"/>
        </w:rPr>
      </w:pPr>
    </w:p>
    <w:p>
      <w:pPr>
        <w:jc w:val="center"/>
        <w:rPr>
          <w:rFonts w:ascii="方正小标宋_GBK" w:eastAsia="方正小标宋_GBK"/>
          <w:color w:val="auto"/>
          <w:sz w:val="44"/>
          <w:szCs w:val="44"/>
        </w:rPr>
      </w:pPr>
      <w:r>
        <w:rPr>
          <w:rFonts w:hint="eastAsia" w:ascii="方正小标宋_GBK" w:eastAsia="方正小标宋_GBK"/>
          <w:color w:val="auto"/>
          <w:sz w:val="44"/>
          <w:szCs w:val="44"/>
        </w:rPr>
        <w:t>2024年苏州市公共文化配送项目招募公告</w:t>
      </w:r>
    </w:p>
    <w:p>
      <w:pPr>
        <w:ind w:firstLine="632" w:firstLineChars="200"/>
        <w:rPr>
          <w:color w:val="auto"/>
        </w:rPr>
      </w:pPr>
    </w:p>
    <w:p>
      <w:pPr>
        <w:ind w:firstLine="632" w:firstLineChars="200"/>
        <w:rPr>
          <w:rFonts w:ascii="黑体" w:hAnsi="黑体" w:eastAsia="黑体"/>
          <w:color w:val="auto"/>
        </w:rPr>
      </w:pPr>
      <w:r>
        <w:rPr>
          <w:rFonts w:hint="eastAsia" w:ascii="黑体" w:hAnsi="黑体" w:eastAsia="黑体"/>
          <w:color w:val="auto"/>
        </w:rPr>
        <w:t>一、项目背景</w:t>
      </w:r>
    </w:p>
    <w:p>
      <w:pPr>
        <w:ind w:firstLine="632" w:firstLineChars="200"/>
        <w:rPr>
          <w:color w:val="auto"/>
        </w:rPr>
      </w:pPr>
      <w:r>
        <w:rPr>
          <w:rFonts w:hint="eastAsia"/>
          <w:color w:val="auto"/>
        </w:rPr>
        <w:t>苏州市公共文化配送，通过向社会招募优质公共文化配送项目，采取“菜单式”点选、“订单式”配送形式，将文化服务送到基层，精准满足人民群众多样性、多层次文化需求。</w:t>
      </w:r>
    </w:p>
    <w:p>
      <w:pPr>
        <w:ind w:firstLine="632" w:firstLineChars="200"/>
        <w:rPr>
          <w:color w:val="auto"/>
        </w:rPr>
      </w:pPr>
      <w:r>
        <w:rPr>
          <w:rFonts w:hint="eastAsia"/>
          <w:color w:val="auto"/>
        </w:rPr>
        <w:t>2024年，苏州市公共文化配送工作将持续深化“文化惠民心”服务品牌，丰富服务配送内容，创新服务配送方式，大幅提升市民群众直接点选项目数量，持续提供标准化、均等化、高品质的公共文化服务。</w:t>
      </w:r>
    </w:p>
    <w:p>
      <w:pPr>
        <w:ind w:firstLine="632" w:firstLineChars="200"/>
        <w:rPr>
          <w:rFonts w:ascii="黑体" w:hAnsi="黑体" w:eastAsia="黑体"/>
          <w:color w:val="auto"/>
        </w:rPr>
      </w:pPr>
      <w:r>
        <w:rPr>
          <w:rFonts w:hint="eastAsia" w:ascii="黑体" w:hAnsi="黑体" w:eastAsia="黑体"/>
          <w:color w:val="auto"/>
        </w:rPr>
        <w:t>二、主体资格</w:t>
      </w:r>
    </w:p>
    <w:p>
      <w:pPr>
        <w:ind w:firstLine="632" w:firstLineChars="200"/>
        <w:rPr>
          <w:color w:val="auto"/>
        </w:rPr>
      </w:pPr>
      <w:r>
        <w:rPr>
          <w:rFonts w:hint="eastAsia"/>
          <w:color w:val="auto"/>
        </w:rPr>
        <w:t>申报主体须全部满足以下条件：</w:t>
      </w:r>
    </w:p>
    <w:p>
      <w:pPr>
        <w:ind w:firstLine="632" w:firstLineChars="200"/>
        <w:rPr>
          <w:color w:val="auto"/>
        </w:rPr>
      </w:pPr>
      <w:r>
        <w:rPr>
          <w:rFonts w:hint="eastAsia"/>
          <w:color w:val="auto"/>
        </w:rPr>
        <w:t>（一）2023年12月31日前完成登记注册的各类社会主体；</w:t>
      </w:r>
    </w:p>
    <w:p>
      <w:pPr>
        <w:ind w:firstLine="632" w:firstLineChars="200"/>
        <w:rPr>
          <w:color w:val="auto"/>
        </w:rPr>
      </w:pPr>
      <w:r>
        <w:rPr>
          <w:rFonts w:hint="eastAsia"/>
          <w:color w:val="auto"/>
        </w:rPr>
        <w:t>（二）具有独立法人资格的各类社会主体（区级及以上注册登记的社会组织、事业单位，文化服务类企业、民营院团、个人工作室等）；</w:t>
      </w:r>
    </w:p>
    <w:p>
      <w:pPr>
        <w:ind w:firstLine="632" w:firstLineChars="200"/>
        <w:rPr>
          <w:color w:val="auto"/>
        </w:rPr>
      </w:pPr>
      <w:r>
        <w:rPr>
          <w:rFonts w:hint="eastAsia"/>
          <w:color w:val="auto"/>
        </w:rPr>
        <w:t>（三）具有提供公共文化服务所必需的设施、人员和专业技术能力；</w:t>
      </w:r>
    </w:p>
    <w:p>
      <w:pPr>
        <w:ind w:firstLine="632" w:firstLineChars="200"/>
        <w:rPr>
          <w:color w:val="auto"/>
        </w:rPr>
      </w:pPr>
      <w:r>
        <w:rPr>
          <w:rFonts w:hint="eastAsia"/>
          <w:color w:val="auto"/>
        </w:rPr>
        <w:t>（四）具有良好的社会和商业信誉，依法缴纳税收和社会保险；社会组织须通过上年度年检。</w:t>
      </w:r>
    </w:p>
    <w:p>
      <w:pPr>
        <w:ind w:firstLine="632" w:firstLineChars="200"/>
        <w:rPr>
          <w:color w:val="auto"/>
        </w:rPr>
      </w:pPr>
      <w:r>
        <w:rPr>
          <w:rFonts w:hint="eastAsia"/>
          <w:color w:val="auto"/>
        </w:rPr>
        <w:t>（五）申报文艺演出A类项目的单位，必须有文化主管部门核发的《营业性演出许可证》。</w:t>
      </w:r>
    </w:p>
    <w:p>
      <w:pPr>
        <w:ind w:firstLine="632" w:firstLineChars="200"/>
        <w:rPr>
          <w:rFonts w:ascii="黑体" w:hAnsi="黑体" w:eastAsia="黑体"/>
          <w:color w:val="auto"/>
        </w:rPr>
      </w:pPr>
      <w:r>
        <w:rPr>
          <w:rFonts w:hint="eastAsia" w:ascii="黑体" w:hAnsi="黑体" w:eastAsia="黑体"/>
          <w:color w:val="auto"/>
        </w:rPr>
        <w:t>三、项目主题</w:t>
      </w:r>
    </w:p>
    <w:p>
      <w:pPr>
        <w:ind w:firstLine="632" w:firstLineChars="200"/>
        <w:rPr>
          <w:color w:val="auto"/>
        </w:rPr>
      </w:pPr>
      <w:r>
        <w:rPr>
          <w:rFonts w:hint="eastAsia"/>
          <w:color w:val="auto"/>
        </w:rPr>
        <w:t>（一）“苏”系列。围绕苏工、苏作、苏味、苏艺等苏州传统文化、传统技艺、非遗文化等策划设计活动。</w:t>
      </w:r>
    </w:p>
    <w:p>
      <w:pPr>
        <w:ind w:firstLine="632" w:firstLineChars="200"/>
        <w:rPr>
          <w:color w:val="auto"/>
        </w:rPr>
      </w:pPr>
      <w:r>
        <w:rPr>
          <w:rFonts w:hint="eastAsia"/>
          <w:color w:val="auto"/>
        </w:rPr>
        <w:t>（二）“古”系列。围绕苏州古镇、古村、古街、古宅、园林建筑等元素策划设计活动。</w:t>
      </w:r>
    </w:p>
    <w:p>
      <w:pPr>
        <w:ind w:firstLine="632" w:firstLineChars="200"/>
        <w:rPr>
          <w:color w:val="auto"/>
        </w:rPr>
      </w:pPr>
      <w:r>
        <w:rPr>
          <w:rFonts w:hint="eastAsia"/>
          <w:color w:val="auto"/>
        </w:rPr>
        <w:t>（三）“名”系列。内容围绕名人、名家、名师、名剧等策划设计活动。</w:t>
      </w:r>
    </w:p>
    <w:p>
      <w:pPr>
        <w:ind w:firstLine="632" w:firstLineChars="200"/>
        <w:rPr>
          <w:rFonts w:ascii="黑体" w:hAnsi="黑体" w:eastAsia="黑体"/>
          <w:color w:val="auto"/>
        </w:rPr>
      </w:pPr>
      <w:r>
        <w:rPr>
          <w:rFonts w:hint="eastAsia" w:ascii="黑体" w:hAnsi="黑体" w:eastAsia="黑体"/>
          <w:color w:val="auto"/>
        </w:rPr>
        <w:t>四、项目类型</w:t>
      </w:r>
    </w:p>
    <w:p>
      <w:pPr>
        <w:ind w:firstLine="632" w:firstLineChars="200"/>
        <w:rPr>
          <w:color w:val="auto"/>
        </w:rPr>
      </w:pPr>
      <w:r>
        <w:rPr>
          <w:rFonts w:hint="eastAsia"/>
          <w:color w:val="auto"/>
        </w:rPr>
        <w:t>（一）文艺演出，适用于在各级文化活动中心、大型演出场馆、基层综合文化活动室、户外广场等进行的戏曲曲艺、音乐舞蹈、乐器演奏、舞台戏剧、魔术杂技等艺术门类的文艺演出。</w:t>
      </w:r>
    </w:p>
    <w:p>
      <w:pPr>
        <w:ind w:firstLine="632" w:firstLineChars="200"/>
        <w:rPr>
          <w:color w:val="auto"/>
        </w:rPr>
      </w:pPr>
      <w:r>
        <w:rPr>
          <w:rFonts w:hint="eastAsia"/>
          <w:color w:val="auto"/>
        </w:rPr>
        <w:t>（二）讲座导赏，以普及文化艺术知识为主，包含人文历史、民俗文化、生活美学、国学经典、非遗传承、吴韵文化、旅游相关等。导赏的形式采取主讲人现场讲授示范或表演等直观形式相结合，要求专业性强、形式活泼、有互动性。</w:t>
      </w:r>
    </w:p>
    <w:p>
      <w:pPr>
        <w:ind w:firstLine="632" w:firstLineChars="200"/>
        <w:rPr>
          <w:color w:val="auto"/>
        </w:rPr>
      </w:pPr>
      <w:r>
        <w:rPr>
          <w:rFonts w:hint="eastAsia"/>
          <w:color w:val="auto"/>
        </w:rPr>
        <w:t>（三）文旅融合，以城市微旅游为主要方式展开，“游”“学”结合，带领广大群众认识、体验和领略苏州文化。</w:t>
      </w:r>
    </w:p>
    <w:p>
      <w:pPr>
        <w:ind w:firstLine="632" w:firstLineChars="200"/>
        <w:rPr>
          <w:color w:val="auto"/>
        </w:rPr>
      </w:pPr>
      <w:r>
        <w:rPr>
          <w:rFonts w:hint="eastAsia"/>
          <w:color w:val="auto"/>
        </w:rPr>
        <w:t>（四）特色活动，内容以富有特色的苏式文化、亲子文化、创新艺术、都市文化等为主，体现出创新性、体验性和互动性。</w:t>
      </w:r>
    </w:p>
    <w:p>
      <w:pPr>
        <w:ind w:firstLine="632" w:firstLineChars="200"/>
        <w:rPr>
          <w:color w:val="auto"/>
        </w:rPr>
      </w:pPr>
      <w:r>
        <w:rPr>
          <w:rFonts w:hint="eastAsia"/>
          <w:color w:val="auto"/>
        </w:rPr>
        <w:t>（五）展览展示，内容包含党史教育、文化艺术、文物收藏、民俗风情等主题的展品。</w:t>
      </w:r>
    </w:p>
    <w:p>
      <w:pPr>
        <w:ind w:firstLine="632" w:firstLineChars="200"/>
        <w:rPr>
          <w:rFonts w:ascii="黑体" w:hAnsi="黑体" w:eastAsia="黑体"/>
          <w:color w:val="auto"/>
        </w:rPr>
      </w:pPr>
      <w:r>
        <w:rPr>
          <w:rFonts w:hint="eastAsia" w:ascii="黑体" w:hAnsi="黑体" w:eastAsia="黑体"/>
          <w:color w:val="auto"/>
        </w:rPr>
        <w:t>五、申报数量</w:t>
      </w:r>
    </w:p>
    <w:p>
      <w:pPr>
        <w:ind w:firstLine="632" w:firstLineChars="200"/>
        <w:rPr>
          <w:color w:val="auto"/>
        </w:rPr>
      </w:pPr>
      <w:r>
        <w:rPr>
          <w:rFonts w:hint="eastAsia"/>
          <w:color w:val="auto"/>
        </w:rPr>
        <w:t>每家主体申报项目不超过</w:t>
      </w:r>
      <w:r>
        <w:rPr>
          <w:color w:val="auto"/>
        </w:rPr>
        <w:t>8</w:t>
      </w:r>
      <w:r>
        <w:rPr>
          <w:rFonts w:hint="eastAsia"/>
          <w:color w:val="auto"/>
        </w:rPr>
        <w:t>个，往年已入选项目数量不超过本年度申报项目数量</w:t>
      </w:r>
      <w:r>
        <w:rPr>
          <w:color w:val="auto"/>
        </w:rPr>
        <w:t>50</w:t>
      </w:r>
      <w:r>
        <w:rPr>
          <w:rFonts w:hint="eastAsia"/>
          <w:color w:val="auto"/>
        </w:rPr>
        <w:t>%。</w:t>
      </w:r>
    </w:p>
    <w:p>
      <w:pPr>
        <w:ind w:firstLine="632" w:firstLineChars="200"/>
        <w:rPr>
          <w:rFonts w:ascii="黑体" w:hAnsi="黑体" w:eastAsia="黑体"/>
          <w:color w:val="auto"/>
        </w:rPr>
      </w:pPr>
      <w:r>
        <w:rPr>
          <w:rFonts w:hint="eastAsia" w:ascii="黑体" w:hAnsi="黑体" w:eastAsia="黑体"/>
          <w:color w:val="auto"/>
        </w:rPr>
        <w:t>六、点选方式及费用</w:t>
      </w:r>
    </w:p>
    <w:p>
      <w:pPr>
        <w:ind w:firstLine="632" w:firstLineChars="200"/>
        <w:rPr>
          <w:color w:val="auto"/>
        </w:rPr>
      </w:pPr>
      <w:r>
        <w:rPr>
          <w:rFonts w:hint="eastAsia"/>
          <w:color w:val="auto"/>
        </w:rPr>
        <w:t>项目</w:t>
      </w:r>
      <w:r>
        <w:rPr>
          <w:color w:val="auto"/>
        </w:rPr>
        <w:t>经评审后进入苏州市公共文化</w:t>
      </w:r>
      <w:r>
        <w:rPr>
          <w:rFonts w:hint="eastAsia"/>
          <w:color w:val="auto"/>
        </w:rPr>
        <w:t>配送</w:t>
      </w:r>
      <w:r>
        <w:rPr>
          <w:color w:val="auto"/>
        </w:rPr>
        <w:t>服务项目</w:t>
      </w:r>
      <w:r>
        <w:rPr>
          <w:rFonts w:hint="eastAsia"/>
          <w:color w:val="auto"/>
        </w:rPr>
        <w:t>库</w:t>
      </w:r>
      <w:r>
        <w:rPr>
          <w:color w:val="auto"/>
        </w:rPr>
        <w:t>（</w:t>
      </w:r>
      <w:r>
        <w:rPr>
          <w:rFonts w:hint="eastAsia"/>
          <w:color w:val="auto"/>
        </w:rPr>
        <w:t>2024</w:t>
      </w:r>
      <w:r>
        <w:rPr>
          <w:color w:val="auto"/>
        </w:rPr>
        <w:t>）</w:t>
      </w:r>
      <w:r>
        <w:rPr>
          <w:rFonts w:hint="eastAsia"/>
          <w:color w:val="auto"/>
        </w:rPr>
        <w:t>，</w:t>
      </w:r>
      <w:r>
        <w:rPr>
          <w:color w:val="auto"/>
        </w:rPr>
        <w:t>接受点选</w:t>
      </w:r>
      <w:r>
        <w:rPr>
          <w:rFonts w:hint="eastAsia"/>
          <w:color w:val="auto"/>
        </w:rPr>
        <w:t>，</w:t>
      </w:r>
      <w:r>
        <w:rPr>
          <w:color w:val="auto"/>
        </w:rPr>
        <w:t>提供服务后</w:t>
      </w:r>
      <w:r>
        <w:rPr>
          <w:rFonts w:hint="eastAsia"/>
          <w:color w:val="auto"/>
        </w:rPr>
        <w:t>获取费用</w:t>
      </w:r>
      <w:r>
        <w:rPr>
          <w:color w:val="auto"/>
        </w:rPr>
        <w:t>。</w:t>
      </w:r>
    </w:p>
    <w:p>
      <w:pPr>
        <w:ind w:firstLine="632" w:firstLineChars="200"/>
        <w:rPr>
          <w:rFonts w:hint="eastAsia" w:ascii="楷体_GB2312" w:eastAsia="楷体_GB2312"/>
          <w:color w:val="auto"/>
        </w:rPr>
      </w:pPr>
      <w:r>
        <w:rPr>
          <w:rFonts w:hint="eastAsia" w:ascii="楷体_GB2312" w:eastAsia="楷体_GB2312"/>
          <w:color w:val="auto"/>
        </w:rPr>
        <w:t>（一）项目点选方式</w:t>
      </w:r>
    </w:p>
    <w:p>
      <w:pPr>
        <w:ind w:firstLine="632" w:firstLineChars="200"/>
        <w:rPr>
          <w:color w:val="auto"/>
        </w:rPr>
      </w:pPr>
      <w:r>
        <w:rPr>
          <w:rFonts w:hint="eastAsia"/>
          <w:color w:val="auto"/>
        </w:rPr>
        <w:t>1.社会化点选。项目供应商负责通过相关新媒体平台（包括但不限于文广旅局官微、苏州群文、君到苏州、好玩苏州等）面向全社会招募参与者，在指定时间地点开展活动完成</w:t>
      </w:r>
      <w:r>
        <w:rPr>
          <w:color w:val="auto"/>
        </w:rPr>
        <w:t>文化服务</w:t>
      </w:r>
      <w:r>
        <w:rPr>
          <w:rFonts w:hint="eastAsia"/>
          <w:color w:val="auto"/>
        </w:rPr>
        <w:t>。</w:t>
      </w:r>
    </w:p>
    <w:p>
      <w:pPr>
        <w:ind w:firstLine="632" w:firstLineChars="200"/>
        <w:rPr>
          <w:color w:val="auto"/>
        </w:rPr>
      </w:pPr>
      <w:r>
        <w:rPr>
          <w:rFonts w:hint="eastAsia"/>
          <w:color w:val="auto"/>
        </w:rPr>
        <w:t xml:space="preserve">2.基层及专项点选。项目接受苏州市各区县基层及相关单位点选，按要求完成文化服务。  </w:t>
      </w:r>
    </w:p>
    <w:p>
      <w:pPr>
        <w:ind w:firstLine="632" w:firstLineChars="200"/>
        <w:rPr>
          <w:rFonts w:ascii="楷体_GB2312" w:eastAsia="楷体_GB2312"/>
          <w:color w:val="auto"/>
        </w:rPr>
      </w:pPr>
      <w:r>
        <w:rPr>
          <w:rFonts w:hint="eastAsia" w:ascii="楷体_GB2312" w:eastAsia="楷体_GB2312"/>
          <w:color w:val="auto"/>
        </w:rPr>
        <w:t>（二）费用标准</w:t>
      </w:r>
    </w:p>
    <w:p>
      <w:pPr>
        <w:ind w:firstLine="632" w:firstLineChars="200"/>
        <w:rPr>
          <w:color w:val="auto"/>
        </w:rPr>
      </w:pPr>
      <w:r>
        <w:rPr>
          <w:rFonts w:hint="eastAsia"/>
          <w:color w:val="auto"/>
        </w:rPr>
        <w:t>1.通过社会化点选的项目，按每场文艺演出A类20000元、B类10000元、C类5000元；每场讲座导赏A类5000元、B类3000元；每场文旅融合5000元；每场特色活动3000元；每场展览展示A类5000元、B类3000元的标准支付服务费用。</w:t>
      </w:r>
    </w:p>
    <w:p>
      <w:pPr>
        <w:ind w:firstLine="632" w:firstLineChars="200"/>
        <w:rPr>
          <w:color w:val="auto"/>
        </w:rPr>
      </w:pPr>
      <w:r>
        <w:rPr>
          <w:rFonts w:hint="eastAsia"/>
          <w:color w:val="auto"/>
        </w:rPr>
        <w:t>2.通过基层及专项点选的项目，按社会化点选项目经费标准的80</w:t>
      </w:r>
      <w:r>
        <w:rPr>
          <w:color w:val="auto"/>
        </w:rPr>
        <w:t>%</w:t>
      </w:r>
      <w:r>
        <w:rPr>
          <w:rFonts w:hint="eastAsia"/>
          <w:color w:val="auto"/>
        </w:rPr>
        <w:t>支付费用。</w:t>
      </w:r>
    </w:p>
    <w:p>
      <w:pPr>
        <w:ind w:firstLine="632" w:firstLineChars="200"/>
        <w:rPr>
          <w:rFonts w:ascii="黑体" w:hAnsi="黑体" w:eastAsia="黑体"/>
          <w:color w:val="auto"/>
        </w:rPr>
      </w:pPr>
      <w:r>
        <w:rPr>
          <w:rFonts w:hint="eastAsia" w:ascii="黑体" w:hAnsi="黑体" w:eastAsia="黑体"/>
          <w:color w:val="auto"/>
        </w:rPr>
        <w:t>七、申报平台</w:t>
      </w:r>
    </w:p>
    <w:p>
      <w:pPr>
        <w:ind w:firstLine="632" w:firstLineChars="200"/>
        <w:jc w:val="left"/>
        <w:rPr>
          <w:color w:val="auto"/>
        </w:rPr>
      </w:pPr>
      <w:r>
        <w:rPr>
          <w:rFonts w:hint="eastAsia"/>
          <w:color w:val="auto"/>
        </w:rPr>
        <w:t>苏州市公共文化配送平台：</w:t>
      </w:r>
    </w:p>
    <w:p>
      <w:pPr>
        <w:ind w:firstLine="632" w:firstLineChars="200"/>
        <w:jc w:val="left"/>
        <w:rPr>
          <w:color w:val="auto"/>
        </w:rPr>
      </w:pPr>
      <w:r>
        <w:rPr>
          <w:color w:val="auto"/>
        </w:rPr>
        <w:fldChar w:fldCharType="begin"/>
      </w:r>
      <w:r>
        <w:rPr>
          <w:color w:val="auto"/>
        </w:rPr>
        <w:instrText xml:space="preserve"> HYPERLINK "http://ggwh.visitsz.com/Supplier/Login.aspx" </w:instrText>
      </w:r>
      <w:r>
        <w:rPr>
          <w:color w:val="auto"/>
        </w:rPr>
        <w:fldChar w:fldCharType="separate"/>
      </w:r>
      <w:r>
        <w:rPr>
          <w:rStyle w:val="10"/>
          <w:rFonts w:hint="eastAsia"/>
          <w:color w:val="auto"/>
        </w:rPr>
        <w:t>http://ggwh.visitsz.com/Supplier/Login.aspx</w:t>
      </w:r>
      <w:r>
        <w:rPr>
          <w:rStyle w:val="10"/>
          <w:rFonts w:hint="eastAsia"/>
          <w:color w:val="auto"/>
        </w:rPr>
        <w:fldChar w:fldCharType="end"/>
      </w:r>
    </w:p>
    <w:p>
      <w:pPr>
        <w:ind w:firstLine="632" w:firstLineChars="200"/>
        <w:rPr>
          <w:rFonts w:ascii="黑体" w:hAnsi="黑体" w:eastAsia="黑体"/>
          <w:color w:val="auto"/>
        </w:rPr>
      </w:pPr>
      <w:r>
        <w:rPr>
          <w:rFonts w:hint="eastAsia" w:ascii="黑体" w:hAnsi="黑体" w:eastAsia="黑体"/>
          <w:color w:val="auto"/>
        </w:rPr>
        <w:t>八、申报材料</w:t>
      </w:r>
    </w:p>
    <w:p>
      <w:pPr>
        <w:ind w:firstLine="632" w:firstLineChars="200"/>
        <w:jc w:val="left"/>
        <w:rPr>
          <w:color w:val="auto"/>
        </w:rPr>
      </w:pPr>
      <w:r>
        <w:rPr>
          <w:rFonts w:hint="eastAsia"/>
          <w:color w:val="auto"/>
        </w:rPr>
        <w:t>1.机构基本资料：法定代表人身份证、营业执照、机构及人员资质证明文件、依法缴纳税收和社会保障资金的相关材料、社会组织须提交近期年检证书。</w:t>
      </w:r>
    </w:p>
    <w:p>
      <w:pPr>
        <w:ind w:firstLine="632" w:firstLineChars="200"/>
        <w:jc w:val="left"/>
        <w:rPr>
          <w:color w:val="auto"/>
        </w:rPr>
      </w:pPr>
      <w:r>
        <w:rPr>
          <w:rFonts w:hint="eastAsia"/>
          <w:color w:val="auto"/>
        </w:rPr>
        <w:t>2.项目申报书：包含选题、立意、内容简介、展示图片或视频、主要流程、人员配置、辅助材料等。</w:t>
      </w:r>
    </w:p>
    <w:p>
      <w:pPr>
        <w:ind w:firstLine="632" w:firstLineChars="200"/>
        <w:jc w:val="left"/>
        <w:rPr>
          <w:color w:val="auto"/>
        </w:rPr>
      </w:pPr>
      <w:r>
        <w:rPr>
          <w:rFonts w:hint="eastAsia"/>
          <w:color w:val="auto"/>
        </w:rPr>
        <w:t>3.项目标题：文字简洁明了，体现“苏”“古”“名”系列主题。（例：“苏”-苏绣技艺赏析）</w:t>
      </w:r>
    </w:p>
    <w:p>
      <w:pPr>
        <w:ind w:firstLine="632" w:firstLineChars="200"/>
        <w:jc w:val="left"/>
        <w:rPr>
          <w:color w:val="auto"/>
        </w:rPr>
      </w:pPr>
      <w:r>
        <w:rPr>
          <w:rFonts w:hint="eastAsia"/>
          <w:color w:val="auto"/>
        </w:rPr>
        <w:t>4.以上材料均通过苏州市公共文化配送平台进行线上填写及资料上传，</w:t>
      </w:r>
      <w:r>
        <w:rPr>
          <w:color w:val="auto"/>
        </w:rPr>
        <w:t>不接受纸质材料申报</w:t>
      </w:r>
      <w:r>
        <w:rPr>
          <w:rFonts w:hint="eastAsia"/>
          <w:color w:val="auto"/>
        </w:rPr>
        <w:t>。</w:t>
      </w:r>
    </w:p>
    <w:p>
      <w:pPr>
        <w:ind w:firstLine="632" w:firstLineChars="200"/>
        <w:jc w:val="left"/>
        <w:rPr>
          <w:rFonts w:hint="eastAsia"/>
          <w:color w:val="auto"/>
          <w:highlight w:val="none"/>
        </w:rPr>
      </w:pPr>
      <w:r>
        <w:rPr>
          <w:rFonts w:hint="eastAsia"/>
          <w:color w:val="auto"/>
          <w:highlight w:val="none"/>
        </w:rPr>
        <w:t>5.参与社会化点选方式。在申报平台“是否参与社会化点选”中选择。</w:t>
      </w:r>
    </w:p>
    <w:p>
      <w:pPr>
        <w:ind w:firstLine="632" w:firstLineChars="200"/>
        <w:rPr>
          <w:rFonts w:ascii="黑体" w:hAnsi="黑体" w:eastAsia="黑体"/>
          <w:color w:val="auto"/>
        </w:rPr>
      </w:pPr>
      <w:r>
        <w:rPr>
          <w:rFonts w:hint="eastAsia" w:ascii="黑体" w:hAnsi="黑体" w:eastAsia="黑体"/>
          <w:color w:val="auto"/>
        </w:rPr>
        <w:t>九、申报时间</w:t>
      </w:r>
    </w:p>
    <w:p>
      <w:pPr>
        <w:ind w:firstLine="632" w:firstLineChars="200"/>
        <w:jc w:val="left"/>
        <w:rPr>
          <w:color w:val="auto"/>
        </w:rPr>
      </w:pPr>
      <w:r>
        <w:rPr>
          <w:rFonts w:hint="eastAsia"/>
          <w:color w:val="auto"/>
        </w:rPr>
        <w:t>项目申报自2024 年</w:t>
      </w:r>
      <w:r>
        <w:rPr>
          <w:color w:val="auto"/>
        </w:rPr>
        <w:t>4</w:t>
      </w:r>
      <w:r>
        <w:rPr>
          <w:rFonts w:hint="eastAsia"/>
          <w:color w:val="auto"/>
        </w:rPr>
        <w:t>月</w:t>
      </w:r>
      <w:r>
        <w:rPr>
          <w:rFonts w:hint="eastAsia"/>
          <w:color w:val="auto"/>
          <w:lang w:val="en-US" w:eastAsia="zh-CN"/>
        </w:rPr>
        <w:t>14</w:t>
      </w:r>
      <w:r>
        <w:rPr>
          <w:rFonts w:hint="eastAsia"/>
          <w:color w:val="auto"/>
        </w:rPr>
        <w:t>日起至2024 年</w:t>
      </w:r>
      <w:r>
        <w:rPr>
          <w:color w:val="auto"/>
        </w:rPr>
        <w:t>4</w:t>
      </w:r>
      <w:r>
        <w:rPr>
          <w:rFonts w:hint="eastAsia"/>
          <w:color w:val="auto"/>
        </w:rPr>
        <w:t>月</w:t>
      </w:r>
      <w:r>
        <w:rPr>
          <w:rFonts w:hint="eastAsia"/>
          <w:color w:val="auto"/>
          <w:lang w:val="en-US" w:eastAsia="zh-CN"/>
        </w:rPr>
        <w:t>23</w:t>
      </w:r>
      <w:r>
        <w:rPr>
          <w:rFonts w:hint="eastAsia"/>
          <w:color w:val="auto"/>
        </w:rPr>
        <w:t>日止。</w:t>
      </w:r>
    </w:p>
    <w:p>
      <w:pPr>
        <w:ind w:firstLine="632" w:firstLineChars="200"/>
        <w:rPr>
          <w:rFonts w:ascii="黑体" w:hAnsi="黑体" w:eastAsia="黑体"/>
          <w:color w:val="auto"/>
        </w:rPr>
      </w:pPr>
      <w:r>
        <w:rPr>
          <w:rFonts w:hint="eastAsia" w:ascii="黑体" w:hAnsi="黑体" w:eastAsia="黑体"/>
          <w:color w:val="auto"/>
        </w:rPr>
        <w:t>十、配送与监管</w:t>
      </w:r>
    </w:p>
    <w:p>
      <w:pPr>
        <w:ind w:firstLine="632" w:firstLineChars="200"/>
        <w:jc w:val="left"/>
        <w:rPr>
          <w:color w:val="auto"/>
        </w:rPr>
      </w:pPr>
      <w:r>
        <w:rPr>
          <w:rFonts w:hint="eastAsia"/>
          <w:color w:val="auto"/>
        </w:rPr>
        <w:t xml:space="preserve">2024年苏州市公共文化服务配送将依托“苏州市公共文化配送管理系统”进行，所有入选项目将通过线上平台接受点选，确认点选后签订配送服务协议，由申报单位组织实施配送服务。 </w:t>
      </w:r>
    </w:p>
    <w:p>
      <w:pPr>
        <w:ind w:firstLine="632" w:firstLineChars="200"/>
        <w:jc w:val="left"/>
        <w:rPr>
          <w:color w:val="auto"/>
        </w:rPr>
      </w:pPr>
      <w:r>
        <w:rPr>
          <w:rFonts w:hint="eastAsia"/>
          <w:color w:val="auto"/>
        </w:rPr>
        <w:t>服务完成后，经申报单位（服务供应商）、服务落地单位和第三方机构共同确认并且服务成效评估结果为合格以上等级的，按照服务协议结算配送费用。</w:t>
      </w:r>
    </w:p>
    <w:p>
      <w:pPr>
        <w:ind w:firstLine="632" w:firstLineChars="200"/>
        <w:rPr>
          <w:rFonts w:hint="eastAsia" w:ascii="黑体" w:hAnsi="黑体" w:eastAsia="黑体"/>
          <w:color w:val="auto"/>
        </w:rPr>
      </w:pPr>
    </w:p>
    <w:p>
      <w:pPr>
        <w:ind w:firstLine="632" w:firstLineChars="200"/>
        <w:rPr>
          <w:rFonts w:ascii="黑体" w:hAnsi="黑体" w:eastAsia="黑体"/>
          <w:color w:val="auto"/>
        </w:rPr>
      </w:pPr>
      <w:r>
        <w:rPr>
          <w:rFonts w:hint="eastAsia" w:ascii="黑体" w:hAnsi="黑体" w:eastAsia="黑体"/>
          <w:color w:val="auto"/>
        </w:rPr>
        <w:t>十一、联系方式</w:t>
      </w:r>
    </w:p>
    <w:p>
      <w:pPr>
        <w:ind w:firstLine="632" w:firstLineChars="200"/>
        <w:jc w:val="left"/>
        <w:rPr>
          <w:rFonts w:hint="eastAsia"/>
          <w:color w:val="auto"/>
        </w:rPr>
      </w:pPr>
      <w:r>
        <w:rPr>
          <w:rFonts w:hint="eastAsia"/>
          <w:color w:val="auto"/>
        </w:rPr>
        <w:t>有意申报公共文化服务项目的机构，可以通过以下方式进行咨询沟通。</w:t>
      </w:r>
      <w:r>
        <w:rPr>
          <w:rFonts w:hint="eastAsia"/>
          <w:color w:val="auto"/>
          <w:lang w:val="en-US" w:eastAsia="zh-CN"/>
        </w:rPr>
        <w:t xml:space="preserve">0512-67678542 </w:t>
      </w:r>
      <w:r>
        <w:rPr>
          <w:rFonts w:hint="eastAsia"/>
          <w:color w:val="auto"/>
        </w:rPr>
        <w:t>13862094936，沈先生。</w:t>
      </w:r>
    </w:p>
    <w:p>
      <w:pPr>
        <w:ind w:firstLine="632" w:firstLineChars="200"/>
        <w:jc w:val="left"/>
        <w:rPr>
          <w:rFonts w:hint="eastAsia"/>
          <w:color w:val="auto"/>
        </w:rPr>
      </w:pPr>
    </w:p>
    <w:p>
      <w:pPr>
        <w:ind w:firstLine="632" w:firstLineChars="200"/>
        <w:jc w:val="left"/>
        <w:rPr>
          <w:rFonts w:hint="eastAsia"/>
          <w:color w:val="auto"/>
        </w:rPr>
      </w:pPr>
    </w:p>
    <w:p>
      <w:pPr>
        <w:ind w:firstLine="632" w:firstLineChars="200"/>
        <w:jc w:val="left"/>
        <w:rPr>
          <w:rFonts w:hint="eastAsia"/>
          <w:color w:val="auto"/>
        </w:rPr>
      </w:pPr>
    </w:p>
    <w:p>
      <w:pPr>
        <w:ind w:firstLine="632" w:firstLineChars="200"/>
        <w:jc w:val="left"/>
        <w:rPr>
          <w:rFonts w:hint="eastAsia"/>
          <w:color w:val="auto"/>
        </w:rPr>
      </w:pPr>
    </w:p>
    <w:p>
      <w:pPr>
        <w:ind w:firstLine="632" w:firstLineChars="200"/>
        <w:jc w:val="left"/>
        <w:rPr>
          <w:rFonts w:hint="eastAsia"/>
          <w:color w:val="auto"/>
        </w:rPr>
      </w:pPr>
    </w:p>
    <w:p>
      <w:pPr>
        <w:ind w:firstLine="632" w:firstLineChars="200"/>
        <w:jc w:val="left"/>
        <w:rPr>
          <w:rFonts w:hint="eastAsia"/>
          <w:color w:val="auto"/>
        </w:rPr>
      </w:pPr>
    </w:p>
    <w:p>
      <w:pPr>
        <w:ind w:firstLine="632" w:firstLineChars="200"/>
        <w:jc w:val="left"/>
        <w:rPr>
          <w:rFonts w:hint="eastAsia"/>
          <w:color w:val="auto"/>
        </w:rPr>
      </w:pPr>
    </w:p>
    <w:p>
      <w:pPr>
        <w:ind w:firstLine="632" w:firstLineChars="200"/>
        <w:jc w:val="left"/>
        <w:rPr>
          <w:rFonts w:hint="eastAsia"/>
          <w:color w:val="auto"/>
        </w:rPr>
      </w:pPr>
    </w:p>
    <w:p>
      <w:pPr>
        <w:ind w:firstLine="632" w:firstLineChars="200"/>
        <w:jc w:val="left"/>
        <w:rPr>
          <w:rFonts w:hint="eastAsia"/>
          <w:color w:val="auto"/>
        </w:rPr>
      </w:pPr>
    </w:p>
    <w:p>
      <w:pPr>
        <w:ind w:firstLine="632" w:firstLineChars="200"/>
        <w:jc w:val="left"/>
        <w:rPr>
          <w:rFonts w:hint="eastAsia"/>
          <w:color w:val="auto"/>
        </w:rPr>
      </w:pPr>
    </w:p>
    <w:p>
      <w:pPr>
        <w:ind w:firstLine="632" w:firstLineChars="200"/>
        <w:jc w:val="left"/>
        <w:rPr>
          <w:rFonts w:hint="eastAsia"/>
          <w:color w:val="auto"/>
        </w:rPr>
      </w:pPr>
    </w:p>
    <w:p>
      <w:pPr>
        <w:ind w:firstLine="632" w:firstLineChars="200"/>
        <w:jc w:val="left"/>
        <w:rPr>
          <w:rFonts w:hint="eastAsia"/>
          <w:color w:val="auto"/>
        </w:rPr>
      </w:pPr>
    </w:p>
    <w:p>
      <w:pPr>
        <w:ind w:firstLine="632" w:firstLineChars="200"/>
        <w:jc w:val="left"/>
        <w:rPr>
          <w:rFonts w:hint="eastAsia"/>
          <w:color w:val="auto"/>
        </w:rPr>
      </w:pPr>
    </w:p>
    <w:p>
      <w:pPr>
        <w:ind w:firstLine="632" w:firstLineChars="200"/>
        <w:jc w:val="left"/>
        <w:rPr>
          <w:rFonts w:hint="eastAsia"/>
          <w:color w:val="auto"/>
        </w:rPr>
      </w:pPr>
    </w:p>
    <w:p>
      <w:pPr>
        <w:ind w:firstLine="632" w:firstLineChars="200"/>
        <w:jc w:val="left"/>
        <w:rPr>
          <w:rFonts w:hint="eastAsia"/>
          <w:color w:val="auto"/>
        </w:rPr>
      </w:pPr>
    </w:p>
    <w:p>
      <w:pPr>
        <w:ind w:firstLine="632" w:firstLineChars="200"/>
        <w:jc w:val="left"/>
        <w:rPr>
          <w:rFonts w:hint="eastAsia"/>
          <w:color w:val="auto"/>
        </w:rPr>
      </w:pPr>
    </w:p>
    <w:p>
      <w:pPr>
        <w:ind w:firstLine="632" w:firstLineChars="200"/>
        <w:jc w:val="left"/>
        <w:rPr>
          <w:rFonts w:hint="eastAsia"/>
          <w:color w:val="auto"/>
        </w:rPr>
      </w:pPr>
    </w:p>
    <w:p>
      <w:pPr>
        <w:ind w:firstLine="632" w:firstLineChars="200"/>
        <w:jc w:val="left"/>
        <w:rPr>
          <w:rFonts w:hint="eastAsia"/>
          <w:color w:val="auto"/>
        </w:rPr>
      </w:pPr>
    </w:p>
    <w:p>
      <w:pPr>
        <w:ind w:firstLine="632" w:firstLineChars="200"/>
        <w:jc w:val="left"/>
        <w:rPr>
          <w:rFonts w:hint="eastAsia"/>
          <w:color w:val="auto"/>
        </w:rPr>
      </w:pPr>
    </w:p>
    <w:p>
      <w:pPr>
        <w:pStyle w:val="3"/>
        <w:ind w:firstLine="0" w:firstLineChars="0"/>
        <w:rPr>
          <w:rFonts w:hint="eastAsia"/>
          <w:lang w:val="en-US" w:eastAsia="zh-CN"/>
        </w:rPr>
      </w:pPr>
      <w:r>
        <w:rPr>
          <w:rFonts w:ascii="Times New Roman" w:cs="Times New Roman"/>
        </w:rPr>
        <w:t>附件</w:t>
      </w:r>
      <w:r>
        <w:rPr>
          <w:rFonts w:hint="eastAsia" w:ascii="Times New Roman" w:cs="Times New Roman"/>
          <w:lang w:val="en-US" w:eastAsia="zh-CN"/>
        </w:rPr>
        <w:t>1</w:t>
      </w:r>
      <w:r>
        <w:rPr>
          <w:rFonts w:ascii="Times New Roman" w:cs="Times New Roman"/>
        </w:rPr>
        <w:t>：</w:t>
      </w:r>
      <w:r>
        <w:rPr>
          <w:rFonts w:hint="eastAsia" w:ascii="Times New Roman" w:cs="Times New Roman"/>
          <w:lang w:val="en-US" w:eastAsia="zh-CN"/>
        </w:rPr>
        <w:t>2024年苏州市公共文化配送费用及执行标准</w:t>
      </w:r>
    </w:p>
    <w:tbl>
      <w:tblPr>
        <w:tblStyle w:val="8"/>
        <w:tblpPr w:leftFromText="180" w:rightFromText="180" w:vertAnchor="text" w:horzAnchor="page" w:tblpX="1792" w:tblpY="652"/>
        <w:tblOverlap w:val="never"/>
        <w:tblW w:w="525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621"/>
        <w:gridCol w:w="1021"/>
        <w:gridCol w:w="1336"/>
        <w:gridCol w:w="58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5"/>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sz w:val="24"/>
                <w:szCs w:val="24"/>
                <w:highlight w:val="none"/>
                <w:u w:val="none"/>
                <w:lang w:val="en-US" w:eastAsia="zh-CN"/>
              </w:rPr>
              <w:t>苏州市公共文化配送项目服务经费标准及要求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8"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项目类型</w:t>
            </w:r>
          </w:p>
        </w:tc>
        <w:tc>
          <w:tcPr>
            <w:tcW w:w="326" w:type="pct"/>
            <w:tcBorders>
              <w:top w:val="single" w:color="000000" w:sz="8" w:space="0"/>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分类</w:t>
            </w:r>
          </w:p>
        </w:tc>
        <w:tc>
          <w:tcPr>
            <w:tcW w:w="1237" w:type="pct"/>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单场费用（元）</w:t>
            </w:r>
          </w:p>
        </w:tc>
        <w:tc>
          <w:tcPr>
            <w:tcW w:w="3097" w:type="pct"/>
            <w:vMerge w:val="restar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执行标准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b/>
                <w:bCs/>
                <w:i w:val="0"/>
                <w:iCs w:val="0"/>
                <w:color w:val="000000"/>
                <w:sz w:val="24"/>
                <w:szCs w:val="24"/>
                <w:highlight w:val="none"/>
                <w:u w:val="none"/>
              </w:rPr>
            </w:pPr>
          </w:p>
        </w:tc>
        <w:tc>
          <w:tcPr>
            <w:tcW w:w="32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级别</w:t>
            </w:r>
          </w:p>
        </w:tc>
        <w:tc>
          <w:tcPr>
            <w:tcW w:w="53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社会化点选</w:t>
            </w:r>
          </w:p>
        </w:tc>
        <w:tc>
          <w:tcPr>
            <w:tcW w:w="701" w:type="pc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基层及专项点选</w:t>
            </w:r>
          </w:p>
        </w:tc>
        <w:tc>
          <w:tcPr>
            <w:tcW w:w="3097" w:type="pct"/>
            <w:vMerge w:val="continue"/>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b/>
                <w:bCs/>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338"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文艺演出</w:t>
            </w:r>
          </w:p>
        </w:tc>
        <w:tc>
          <w:tcPr>
            <w:tcW w:w="326" w:type="pct"/>
            <w:vMerge w:val="restar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A类</w:t>
            </w:r>
          </w:p>
        </w:tc>
        <w:tc>
          <w:tcPr>
            <w:tcW w:w="536" w:type="pct"/>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20000</w:t>
            </w:r>
          </w:p>
        </w:tc>
        <w:tc>
          <w:tcPr>
            <w:tcW w:w="701" w:type="pct"/>
            <w:vMerge w:val="restar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16000</w:t>
            </w:r>
          </w:p>
        </w:tc>
        <w:tc>
          <w:tcPr>
            <w:tcW w:w="309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1.申报的演出剧（节目），须有3场以上公演记录。原创新编剧（节目），须有著作权人身份证明或授权文书，无著作权纠纷。剧（节目）内容无违法查处记录。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33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326" w:type="pct"/>
            <w:vMerge w:val="continue"/>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536" w:type="pct"/>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701" w:type="pct"/>
            <w:vMerge w:val="continue"/>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309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2.配合党和国家重大政治活动、全市性重要宣传演出活动、全民节日欢庆活动新编排或复排的剧（节目），并有专业艺术、群文正高级职称演职人员参与。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326" w:type="pct"/>
            <w:vMerge w:val="continue"/>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536" w:type="pct"/>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701" w:type="pct"/>
            <w:vMerge w:val="continue"/>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309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3.观众参与率以500人为基准。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326" w:type="pct"/>
            <w:vMerge w:val="continue"/>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536" w:type="pct"/>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701" w:type="pct"/>
            <w:vMerge w:val="continue"/>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309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4.每场演出时间不少于2小时，其中综艺演出节目不少于8个。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326" w:type="pct"/>
            <w:vMerge w:val="continue"/>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536" w:type="pct"/>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701" w:type="pct"/>
            <w:vMerge w:val="continue"/>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309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5.演员全部彩妆出演，并配有伴奏。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326" w:type="pct"/>
            <w:vMerge w:val="restar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B类</w:t>
            </w:r>
          </w:p>
        </w:tc>
        <w:tc>
          <w:tcPr>
            <w:tcW w:w="536" w:type="pct"/>
            <w:vMerge w:val="restar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10000</w:t>
            </w:r>
          </w:p>
        </w:tc>
        <w:tc>
          <w:tcPr>
            <w:tcW w:w="701" w:type="pct"/>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8000</w:t>
            </w:r>
          </w:p>
        </w:tc>
        <w:tc>
          <w:tcPr>
            <w:tcW w:w="309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1.以地方戏曲、民族、民间、民俗文艺表演节目为主。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326" w:type="pct"/>
            <w:vMerge w:val="continue"/>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536" w:type="pct"/>
            <w:vMerge w:val="continue"/>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701" w:type="pct"/>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309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2.观众参与率以300人为基准。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326" w:type="pct"/>
            <w:vMerge w:val="continue"/>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536" w:type="pct"/>
            <w:vMerge w:val="continue"/>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701" w:type="pct"/>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309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3.每场演出时间不少于1.5小时，其中综艺演出节目不少于6个。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326" w:type="pct"/>
            <w:vMerge w:val="continue"/>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536" w:type="pct"/>
            <w:vMerge w:val="continue"/>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701" w:type="pct"/>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309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4.演员全部彩妆出演，并配有伴奏。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33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326" w:type="pct"/>
            <w:vMerge w:val="restar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C类</w:t>
            </w:r>
          </w:p>
        </w:tc>
        <w:tc>
          <w:tcPr>
            <w:tcW w:w="536" w:type="pct"/>
            <w:vMerge w:val="restar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5000</w:t>
            </w:r>
          </w:p>
        </w:tc>
        <w:tc>
          <w:tcPr>
            <w:tcW w:w="701" w:type="pct"/>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4000</w:t>
            </w:r>
          </w:p>
        </w:tc>
        <w:tc>
          <w:tcPr>
            <w:tcW w:w="309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1.以评弹、折子戏、小品、歌舞类中小型剧（节目）、民间绝活、民间杂耍以及可供表演的非遗项目为主。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326" w:type="pct"/>
            <w:vMerge w:val="continue"/>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536" w:type="pct"/>
            <w:vMerge w:val="continue"/>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701" w:type="pct"/>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309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2.观众参与率以150人为基准。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326" w:type="pct"/>
            <w:vMerge w:val="continue"/>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536" w:type="pct"/>
            <w:vMerge w:val="continue"/>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701" w:type="pct"/>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309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3.每场演出时长不少于1小时。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326" w:type="pct"/>
            <w:vMerge w:val="continue"/>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536" w:type="pct"/>
            <w:vMerge w:val="continue"/>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701" w:type="pct"/>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309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4.演员彩妆出演，并配有伴奏。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8"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讲座导赏</w:t>
            </w:r>
          </w:p>
        </w:tc>
        <w:tc>
          <w:tcPr>
            <w:tcW w:w="326" w:type="pct"/>
            <w:vMerge w:val="restar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A类</w:t>
            </w:r>
          </w:p>
        </w:tc>
        <w:tc>
          <w:tcPr>
            <w:tcW w:w="536" w:type="pct"/>
            <w:vMerge w:val="restar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5000</w:t>
            </w:r>
          </w:p>
        </w:tc>
        <w:tc>
          <w:tcPr>
            <w:tcW w:w="701" w:type="pct"/>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4000</w:t>
            </w:r>
          </w:p>
        </w:tc>
        <w:tc>
          <w:tcPr>
            <w:tcW w:w="309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1.适用于报告厅、多功能室等场地。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326" w:type="pct"/>
            <w:vMerge w:val="continue"/>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536" w:type="pct"/>
            <w:vMerge w:val="continue"/>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701" w:type="pct"/>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309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2.每场活动不少于1.5小时。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33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326" w:type="pct"/>
            <w:vMerge w:val="continue"/>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536" w:type="pct"/>
            <w:vMerge w:val="continue"/>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701" w:type="pct"/>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309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主讲人须具备相关专业副高及以上职称或在本专业领域具有一定影响力、具有良好的演讲才能和丰富的讲座授课经验。配合导赏主讲的助理、助教、演员等，须具备相应的专业演示能力，有公共文化服务演出经历及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33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326" w:type="pct"/>
            <w:vMerge w:val="continue"/>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536" w:type="pct"/>
            <w:vMerge w:val="continue"/>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701" w:type="pct"/>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309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4.导赏类活动主讲人讲授与现场示范或表演等直观形式相结合。除主讲人外，须另行配备专业演员配合讲演内容进行彩妆表演，体现展示形式的丰富性。“讲”“演”的编排比例，一般以1:1为宜。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326" w:type="pct"/>
            <w:vMerge w:val="continue"/>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536" w:type="pct"/>
            <w:vMerge w:val="continue"/>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701" w:type="pct"/>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309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5.观众参与率以100人为基准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326" w:type="pct"/>
            <w:vMerge w:val="restar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B类</w:t>
            </w:r>
          </w:p>
        </w:tc>
        <w:tc>
          <w:tcPr>
            <w:tcW w:w="536" w:type="pct"/>
            <w:vMerge w:val="restar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3000</w:t>
            </w:r>
          </w:p>
        </w:tc>
        <w:tc>
          <w:tcPr>
            <w:tcW w:w="701" w:type="pct"/>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2400</w:t>
            </w:r>
          </w:p>
        </w:tc>
        <w:tc>
          <w:tcPr>
            <w:tcW w:w="309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1.适用于多功能室等场地。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326" w:type="pct"/>
            <w:vMerge w:val="continue"/>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536" w:type="pct"/>
            <w:vMerge w:val="continue"/>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701" w:type="pct"/>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309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2.每场活动不少于1.5小时。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33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326" w:type="pct"/>
            <w:vMerge w:val="continue"/>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536" w:type="pct"/>
            <w:vMerge w:val="continue"/>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701" w:type="pct"/>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309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3.主讲人须在本专业领域具有一定影响力、具有良好的演讲才能和丰富的讲座授课经验。配合导赏主讲的助理、助教、演员等，须具备相应的专业演示能力。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326" w:type="pct"/>
            <w:vMerge w:val="continue"/>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536" w:type="pct"/>
            <w:vMerge w:val="continue"/>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701" w:type="pct"/>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309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4.观众参与率以80人为基准。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8"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文旅融合</w:t>
            </w:r>
          </w:p>
        </w:tc>
        <w:tc>
          <w:tcPr>
            <w:tcW w:w="326" w:type="pct"/>
            <w:vMerge w:val="restar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A类</w:t>
            </w:r>
          </w:p>
        </w:tc>
        <w:tc>
          <w:tcPr>
            <w:tcW w:w="536" w:type="pct"/>
            <w:vMerge w:val="restar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5000</w:t>
            </w:r>
          </w:p>
        </w:tc>
        <w:tc>
          <w:tcPr>
            <w:tcW w:w="701" w:type="pct"/>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4000</w:t>
            </w:r>
          </w:p>
        </w:tc>
        <w:tc>
          <w:tcPr>
            <w:tcW w:w="309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1.主题明确、线路清晰。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326" w:type="pct"/>
            <w:vMerge w:val="continue"/>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536" w:type="pct"/>
            <w:vMerge w:val="continue"/>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701" w:type="pct"/>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309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2.游、学结合，突出文旅融合。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326" w:type="pct"/>
            <w:vMerge w:val="continue"/>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536" w:type="pct"/>
            <w:vMerge w:val="continue"/>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701" w:type="pct"/>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309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3.活动时长为1天。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326" w:type="pct"/>
            <w:vMerge w:val="continue"/>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536" w:type="pct"/>
            <w:vMerge w:val="continue"/>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701" w:type="pct"/>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309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4.费用包含门票、保险费用、用车费用以及用餐等一切费用。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326" w:type="pct"/>
            <w:vMerge w:val="continue"/>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536" w:type="pct"/>
            <w:vMerge w:val="continue"/>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701" w:type="pct"/>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309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5.居民参与率以30人为基准。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8"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特色活动</w:t>
            </w:r>
          </w:p>
        </w:tc>
        <w:tc>
          <w:tcPr>
            <w:tcW w:w="326" w:type="pct"/>
            <w:vMerge w:val="restar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A类</w:t>
            </w:r>
          </w:p>
        </w:tc>
        <w:tc>
          <w:tcPr>
            <w:tcW w:w="536" w:type="pct"/>
            <w:vMerge w:val="restar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3000</w:t>
            </w:r>
          </w:p>
        </w:tc>
        <w:tc>
          <w:tcPr>
            <w:tcW w:w="701" w:type="pct"/>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2400</w:t>
            </w:r>
          </w:p>
        </w:tc>
        <w:tc>
          <w:tcPr>
            <w:tcW w:w="309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1.适用于基层综合文化活动室等小型场地。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326" w:type="pct"/>
            <w:vMerge w:val="continue"/>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536" w:type="pct"/>
            <w:vMerge w:val="continue"/>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701" w:type="pct"/>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309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2.每场活动时间不少于1.5小时。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326" w:type="pct"/>
            <w:vMerge w:val="continue"/>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536" w:type="pct"/>
            <w:vMerge w:val="continue"/>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701" w:type="pct"/>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309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3.居民参与率以30人为基准。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326" w:type="pct"/>
            <w:vMerge w:val="continue"/>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536" w:type="pct"/>
            <w:vMerge w:val="continue"/>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701" w:type="pct"/>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309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4.活动主导及辅助人员，应具有相关专业能力与活动组织能力。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326" w:type="pct"/>
            <w:vMerge w:val="continue"/>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536" w:type="pct"/>
            <w:vMerge w:val="continue"/>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701" w:type="pct"/>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309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5.活动费用包含所需要的物资和材料等所有费用。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8"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展览展示</w:t>
            </w:r>
          </w:p>
        </w:tc>
        <w:tc>
          <w:tcPr>
            <w:tcW w:w="326" w:type="pct"/>
            <w:vMerge w:val="restar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A类</w:t>
            </w:r>
          </w:p>
        </w:tc>
        <w:tc>
          <w:tcPr>
            <w:tcW w:w="536" w:type="pct"/>
            <w:vMerge w:val="restar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5000</w:t>
            </w:r>
          </w:p>
        </w:tc>
        <w:tc>
          <w:tcPr>
            <w:tcW w:w="701" w:type="pct"/>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4000</w:t>
            </w:r>
          </w:p>
        </w:tc>
        <w:tc>
          <w:tcPr>
            <w:tcW w:w="309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1.适用于社区文化活动中心或其他开阔区域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326" w:type="pct"/>
            <w:vMerge w:val="continue"/>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536" w:type="pct"/>
            <w:vMerge w:val="continue"/>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701" w:type="pct"/>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309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2.展出时间不少于7天（不包含布、撤展）。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326" w:type="pct"/>
            <w:vMerge w:val="continue"/>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536" w:type="pct"/>
            <w:vMerge w:val="continue"/>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701" w:type="pct"/>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309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3.展品数量不少于50件，并能提供展览所需的展架等必要设备。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33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326" w:type="pct"/>
            <w:vMerge w:val="continue"/>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536" w:type="pct"/>
            <w:vMerge w:val="continue"/>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701" w:type="pct"/>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309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4.展览形式以展示为主，同时必须结合展览策划一场相关的宣教讲解活动。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326" w:type="pct"/>
            <w:vMerge w:val="restar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B类</w:t>
            </w:r>
          </w:p>
        </w:tc>
        <w:tc>
          <w:tcPr>
            <w:tcW w:w="536" w:type="pct"/>
            <w:vMerge w:val="restar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3000</w:t>
            </w:r>
          </w:p>
        </w:tc>
        <w:tc>
          <w:tcPr>
            <w:tcW w:w="701" w:type="pct"/>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2400</w:t>
            </w:r>
          </w:p>
        </w:tc>
        <w:tc>
          <w:tcPr>
            <w:tcW w:w="309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1.适用于社区文化活动中心或其他开阔区域。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326" w:type="pct"/>
            <w:vMerge w:val="continue"/>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536" w:type="pct"/>
            <w:vMerge w:val="continue"/>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701" w:type="pct"/>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309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2.展出时间不少于3天（不包含布、撤展）。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8"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326" w:type="pct"/>
            <w:vMerge w:val="continue"/>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536" w:type="pct"/>
            <w:vMerge w:val="continue"/>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701" w:type="pct"/>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309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3.展品或展板数量不少于30件并能提供展览所需的展架等必要设备。</w:t>
            </w:r>
          </w:p>
        </w:tc>
      </w:tr>
    </w:tbl>
    <w:p>
      <w:pPr>
        <w:ind w:firstLine="632" w:firstLineChars="200"/>
        <w:jc w:val="left"/>
        <w:rPr>
          <w:rFonts w:hint="eastAsia"/>
          <w:color w:val="auto"/>
        </w:rPr>
      </w:pPr>
      <w:bookmarkStart w:id="0" w:name="_GoBack"/>
      <w:bookmarkEnd w:id="0"/>
    </w:p>
    <w:sectPr>
      <w:footerReference r:id="rId5" w:type="default"/>
      <w:pgSz w:w="11906" w:h="16838"/>
      <w:pgMar w:top="2041" w:right="1531" w:bottom="1928" w:left="1531" w:header="851" w:footer="1247" w:gutter="0"/>
      <w:cols w:space="425" w:num="1"/>
      <w:docGrid w:type="linesAndChars" w:linePitch="584"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E7C1CD0-4F88-44CE-BB4B-FFB22CCEF8E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embedRegular r:id="rId2" w:fontKey="{14507B3C-B5F9-4125-B62E-6A3C466BA604}"/>
  </w:font>
  <w:font w:name="方正小标宋_GBK">
    <w:panose1 w:val="02000000000000000000"/>
    <w:charset w:val="86"/>
    <w:family w:val="script"/>
    <w:pitch w:val="default"/>
    <w:sig w:usb0="A00002BF" w:usb1="38CF7CFA" w:usb2="00082016" w:usb3="00000000" w:csb0="00040001" w:csb1="00000000"/>
    <w:embedRegular r:id="rId3" w:fontKey="{06F989C2-DD59-482E-9972-028253F14BA2}"/>
  </w:font>
  <w:font w:name="方正楷体_GB2312">
    <w:panose1 w:val="02000000000000000000"/>
    <w:charset w:val="86"/>
    <w:family w:val="auto"/>
    <w:pitch w:val="default"/>
    <w:sig w:usb0="A00002BF" w:usb1="184F6CFA" w:usb2="00000012"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embedRegular r:id="rId4" w:fontKey="{05AA51EC-0405-4D1F-819E-7160F77F8A4E}"/>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K">
    <w:altName w:val="微软雅黑"/>
    <w:panose1 w:val="02000000000000000000"/>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694944"/>
      <w:docPartObj>
        <w:docPartGallery w:val="autotext"/>
      </w:docPartObj>
    </w:sdtPr>
    <w:sdtContent>
      <w:p>
        <w:pPr>
          <w:pStyle w:val="4"/>
          <w:jc w:val="center"/>
        </w:pPr>
        <w:r>
          <w:fldChar w:fldCharType="begin"/>
        </w:r>
        <w:r>
          <w:instrText xml:space="preserve">PAGE   \* MERGEFORMAT</w:instrText>
        </w:r>
        <w:r>
          <w:fldChar w:fldCharType="separate"/>
        </w:r>
        <w:r>
          <w:rPr>
            <w:lang w:val="zh-CN"/>
          </w:rPr>
          <w:t>5</w:t>
        </w:r>
        <w: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58"/>
  <w:drawingGridVerticalSpacing w:val="292"/>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mZWIzNDg2MmIzZjExOTIzMmViNTBmYTMwYTk0ZWYifQ=="/>
  </w:docVars>
  <w:rsids>
    <w:rsidRoot w:val="002F670D"/>
    <w:rsid w:val="000F206A"/>
    <w:rsid w:val="002F670D"/>
    <w:rsid w:val="00590788"/>
    <w:rsid w:val="007D76CD"/>
    <w:rsid w:val="008A1DAE"/>
    <w:rsid w:val="008B16D6"/>
    <w:rsid w:val="00A202FF"/>
    <w:rsid w:val="00AE0E85"/>
    <w:rsid w:val="00C9177B"/>
    <w:rsid w:val="00DA5813"/>
    <w:rsid w:val="00DC3F24"/>
    <w:rsid w:val="00F15AF6"/>
    <w:rsid w:val="298F7B04"/>
    <w:rsid w:val="372E0B3E"/>
    <w:rsid w:val="5A9D7F4D"/>
    <w:rsid w:val="5F3B6A32"/>
    <w:rsid w:val="6B463D2E"/>
    <w:rsid w:val="71806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80" w:lineRule="exact"/>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link w:val="11"/>
    <w:autoRedefine/>
    <w:qFormat/>
    <w:uiPriority w:val="9"/>
    <w:pPr>
      <w:keepNext/>
      <w:keepLines/>
      <w:outlineLvl w:val="0"/>
    </w:pPr>
    <w:rPr>
      <w:rFonts w:eastAsia="方正小标宋_GBK"/>
      <w:bCs/>
      <w:kern w:val="44"/>
      <w:sz w:val="44"/>
      <w:szCs w:val="44"/>
    </w:rPr>
  </w:style>
  <w:style w:type="paragraph" w:styleId="3">
    <w:name w:val="heading 2"/>
    <w:basedOn w:val="1"/>
    <w:next w:val="1"/>
    <w:unhideWhenUsed/>
    <w:qFormat/>
    <w:uiPriority w:val="0"/>
    <w:pPr>
      <w:keepNext/>
      <w:keepLines/>
      <w:spacing w:before="120" w:after="120"/>
      <w:jc w:val="left"/>
      <w:outlineLvl w:val="1"/>
    </w:pPr>
    <w:rPr>
      <w:rFonts w:ascii="方正楷体_GB2312" w:hAnsi="方正楷体_GB2312" w:eastAsia="方正楷体_GB2312" w:cs="方正楷体_GB2312"/>
      <w:b/>
      <w:bCs/>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footer"/>
    <w:basedOn w:val="1"/>
    <w:link w:val="15"/>
    <w:unhideWhenUsed/>
    <w:uiPriority w:val="99"/>
    <w:pPr>
      <w:tabs>
        <w:tab w:val="center" w:pos="4153"/>
        <w:tab w:val="right" w:pos="8306"/>
      </w:tabs>
      <w:snapToGrid w:val="0"/>
      <w:spacing w:line="240" w:lineRule="atLeast"/>
      <w:jc w:val="left"/>
    </w:pPr>
    <w:rPr>
      <w:sz w:val="18"/>
      <w:szCs w:val="18"/>
    </w:rPr>
  </w:style>
  <w:style w:type="paragraph" w:styleId="5">
    <w:name w:val="header"/>
    <w:basedOn w:val="1"/>
    <w:link w:val="14"/>
    <w:autoRedefine/>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Subtitle"/>
    <w:basedOn w:val="1"/>
    <w:next w:val="1"/>
    <w:link w:val="13"/>
    <w:autoRedefine/>
    <w:qFormat/>
    <w:uiPriority w:val="11"/>
    <w:pPr>
      <w:spacing w:before="200" w:beforeLines="200"/>
      <w:jc w:val="center"/>
    </w:pPr>
    <w:rPr>
      <w:rFonts w:eastAsia="楷体_GB2312" w:asciiTheme="minorHAnsi" w:hAnsiTheme="minorHAnsi"/>
      <w:bCs/>
      <w:kern w:val="28"/>
      <w:szCs w:val="32"/>
    </w:rPr>
  </w:style>
  <w:style w:type="paragraph" w:styleId="7">
    <w:name w:val="Title"/>
    <w:basedOn w:val="1"/>
    <w:next w:val="1"/>
    <w:link w:val="12"/>
    <w:qFormat/>
    <w:uiPriority w:val="10"/>
    <w:pPr>
      <w:spacing w:before="200" w:beforeLines="200"/>
      <w:jc w:val="center"/>
      <w:outlineLvl w:val="0"/>
    </w:pPr>
    <w:rPr>
      <w:rFonts w:eastAsia="方正小标宋_GBK" w:asciiTheme="majorHAnsi" w:hAnsiTheme="majorHAnsi" w:cstheme="majorBidi"/>
      <w:bCs/>
      <w:sz w:val="44"/>
      <w:szCs w:val="32"/>
    </w:rPr>
  </w:style>
  <w:style w:type="character" w:styleId="10">
    <w:name w:val="Hyperlink"/>
    <w:basedOn w:val="9"/>
    <w:autoRedefine/>
    <w:unhideWhenUsed/>
    <w:qFormat/>
    <w:uiPriority w:val="99"/>
    <w:rPr>
      <w:color w:val="0563C1" w:themeColor="hyperlink"/>
      <w:u w:val="single"/>
      <w14:textFill>
        <w14:solidFill>
          <w14:schemeClr w14:val="hlink"/>
        </w14:solidFill>
      </w14:textFill>
    </w:rPr>
  </w:style>
  <w:style w:type="character" w:customStyle="1" w:styleId="11">
    <w:name w:val="标题 1 字符"/>
    <w:basedOn w:val="9"/>
    <w:link w:val="2"/>
    <w:autoRedefine/>
    <w:qFormat/>
    <w:uiPriority w:val="9"/>
    <w:rPr>
      <w:rFonts w:eastAsia="方正小标宋_GBK"/>
      <w:bCs/>
      <w:kern w:val="44"/>
      <w:sz w:val="44"/>
      <w:szCs w:val="44"/>
    </w:rPr>
  </w:style>
  <w:style w:type="character" w:customStyle="1" w:styleId="12">
    <w:name w:val="标题 字符"/>
    <w:basedOn w:val="9"/>
    <w:link w:val="7"/>
    <w:autoRedefine/>
    <w:qFormat/>
    <w:uiPriority w:val="10"/>
    <w:rPr>
      <w:rFonts w:eastAsia="方正小标宋_GBK" w:asciiTheme="majorHAnsi" w:hAnsiTheme="majorHAnsi" w:cstheme="majorBidi"/>
      <w:bCs/>
      <w:sz w:val="44"/>
      <w:szCs w:val="32"/>
    </w:rPr>
  </w:style>
  <w:style w:type="character" w:customStyle="1" w:styleId="13">
    <w:name w:val="副标题 字符"/>
    <w:basedOn w:val="9"/>
    <w:link w:val="6"/>
    <w:autoRedefine/>
    <w:qFormat/>
    <w:uiPriority w:val="11"/>
    <w:rPr>
      <w:rFonts w:eastAsia="楷体_GB2312" w:asciiTheme="minorHAnsi" w:hAnsiTheme="minorHAnsi"/>
      <w:bCs/>
      <w:kern w:val="28"/>
      <w:szCs w:val="32"/>
    </w:rPr>
  </w:style>
  <w:style w:type="character" w:customStyle="1" w:styleId="14">
    <w:name w:val="页眉 字符"/>
    <w:basedOn w:val="9"/>
    <w:link w:val="5"/>
    <w:autoRedefine/>
    <w:qFormat/>
    <w:uiPriority w:val="99"/>
    <w:rPr>
      <w:sz w:val="18"/>
      <w:szCs w:val="18"/>
    </w:rPr>
  </w:style>
  <w:style w:type="character" w:customStyle="1" w:styleId="15">
    <w:name w:val="页脚 字符"/>
    <w:basedOn w:val="9"/>
    <w:link w:val="4"/>
    <w:autoRedefine/>
    <w:qFormat/>
    <w:uiPriority w:val="99"/>
    <w:rPr>
      <w:sz w:val="18"/>
      <w:szCs w:val="18"/>
    </w:rPr>
  </w:style>
  <w:style w:type="character" w:customStyle="1" w:styleId="16">
    <w:name w:val="font11"/>
    <w:basedOn w:val="9"/>
    <w:autoRedefine/>
    <w:qFormat/>
    <w:uiPriority w:val="0"/>
    <w:rPr>
      <w:rFonts w:hint="eastAsia" w:ascii="仿宋" w:hAnsi="仿宋" w:eastAsia="仿宋" w:cs="仿宋"/>
      <w:b/>
      <w:bCs/>
      <w:color w:val="000000"/>
      <w:sz w:val="24"/>
      <w:szCs w:val="24"/>
      <w:u w:val="none"/>
    </w:rPr>
  </w:style>
  <w:style w:type="character" w:customStyle="1" w:styleId="17">
    <w:name w:val="font21"/>
    <w:basedOn w:val="9"/>
    <w:autoRedefine/>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287</Words>
  <Characters>1638</Characters>
  <Lines>13</Lines>
  <Paragraphs>3</Paragraphs>
  <TotalTime>0</TotalTime>
  <ScaleCrop>false</ScaleCrop>
  <LinksUpToDate>false</LinksUpToDate>
  <CharactersWithSpaces>1922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2024-03-28T08:57:00Z</dcterms:created>
  <dc:creator>张晓钟</dc:creator>
  <cp:lastModifiedBy>维尼憨憨</cp:lastModifiedBy>
  <dcterms:modified xsi:type="dcterms:W3CDTF">2024-04-22T08:02:33Z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2BDFE77B16044D77A606DFB31D0DE4D6_12</vt:lpwstr>
  </property>
</Properties>
</file>